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143AD8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C1C4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"ГОСТ Р 56671-2015. Национальный стандарт Российской Федерации. Рекомендации по разработке и внедрению процедур, основанных на принципах ХАССП"</w:t>
            </w:r>
            <w:r>
              <w:rPr>
                <w:sz w:val="48"/>
                <w:szCs w:val="48"/>
              </w:rPr>
              <w:br/>
              <w:t>(утв. и введен в действие Приказом Росстандарта от 23.10.2015 N 1627-ст)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C1C4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07.04.2021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C1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C1C47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3C1C47">
      <w:pPr>
        <w:pStyle w:val="ConsPlusNormal"/>
        <w:jc w:val="both"/>
      </w:pPr>
      <w:r>
        <w:t>М.: Стандартинформ, 2016</w:t>
      </w:r>
    </w:p>
    <w:p w:rsidR="00000000" w:rsidRDefault="003C1C47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3C1C47">
      <w:pPr>
        <w:pStyle w:val="ConsPlusNormal"/>
        <w:jc w:val="both"/>
      </w:pPr>
      <w:r>
        <w:t xml:space="preserve">Документ </w:t>
      </w:r>
      <w:hyperlink r:id="rId10" w:history="1">
        <w:r>
          <w:rPr>
            <w:color w:val="0000FF"/>
          </w:rPr>
          <w:t>введен</w:t>
        </w:r>
      </w:hyperlink>
      <w:r>
        <w:t xml:space="preserve"> в действие с 1 июля 2016 года.</w:t>
      </w:r>
    </w:p>
    <w:p w:rsidR="00000000" w:rsidRDefault="003C1C47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3C1C47">
      <w:pPr>
        <w:pStyle w:val="ConsPlusNormal"/>
        <w:jc w:val="both"/>
      </w:pPr>
      <w:r>
        <w:t>"ГОСТ Р 56671-2015. Национальный стандарт Российской Федерации. Рекомендации по разработке и внедрению процедур, основанных на пр</w:t>
      </w:r>
      <w:r>
        <w:t>инципах ХАССП"</w:t>
      </w:r>
    </w:p>
    <w:p w:rsidR="00000000" w:rsidRDefault="003C1C47">
      <w:pPr>
        <w:pStyle w:val="ConsPlusNormal"/>
        <w:jc w:val="both"/>
      </w:pPr>
      <w:r>
        <w:t>(утв. и введен в действие Приказом Росстандарта от 23.10.2015 N 1627-ст)</w:t>
      </w:r>
    </w:p>
    <w:p w:rsidR="00000000" w:rsidRDefault="003C1C47">
      <w:pPr>
        <w:pStyle w:val="ConsPlusNormal"/>
        <w:jc w:val="both"/>
        <w:sectPr w:rsidR="00000000">
          <w:headerReference w:type="default" r:id="rId11"/>
          <w:footerReference w:type="default" r:id="rId12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3C1C47">
      <w:pPr>
        <w:pStyle w:val="ConsPlusNormal"/>
        <w:jc w:val="both"/>
        <w:outlineLvl w:val="0"/>
      </w:pPr>
    </w:p>
    <w:p w:rsidR="00000000" w:rsidRDefault="003C1C47">
      <w:pPr>
        <w:pStyle w:val="ConsPlusNormal"/>
        <w:jc w:val="right"/>
        <w:outlineLvl w:val="0"/>
      </w:pPr>
      <w:r>
        <w:t>Утвержден и введен в действие</w:t>
      </w:r>
    </w:p>
    <w:p w:rsidR="00000000" w:rsidRDefault="003C1C47">
      <w:pPr>
        <w:pStyle w:val="ConsPlusNormal"/>
        <w:jc w:val="right"/>
      </w:pPr>
      <w:hyperlink r:id="rId13" w:history="1">
        <w:r>
          <w:rPr>
            <w:color w:val="0000FF"/>
          </w:rPr>
          <w:t>Приказом</w:t>
        </w:r>
      </w:hyperlink>
      <w:r>
        <w:t xml:space="preserve"> Федерального</w:t>
      </w:r>
    </w:p>
    <w:p w:rsidR="00000000" w:rsidRDefault="003C1C47">
      <w:pPr>
        <w:pStyle w:val="ConsPlusNormal"/>
        <w:jc w:val="right"/>
      </w:pPr>
      <w:r>
        <w:t>агентства по техническому</w:t>
      </w:r>
    </w:p>
    <w:p w:rsidR="00000000" w:rsidRDefault="003C1C47">
      <w:pPr>
        <w:pStyle w:val="ConsPlusNormal"/>
        <w:jc w:val="right"/>
      </w:pPr>
      <w:r>
        <w:t>регулированию и метрологии</w:t>
      </w:r>
    </w:p>
    <w:p w:rsidR="00000000" w:rsidRDefault="003C1C47">
      <w:pPr>
        <w:pStyle w:val="ConsPlusNormal"/>
        <w:jc w:val="right"/>
      </w:pPr>
      <w:r>
        <w:t>от 23 октября 2015 г. N 1627-ст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Title"/>
        <w:jc w:val="center"/>
      </w:pPr>
      <w:r>
        <w:t>НАЦИОНАЛЬНЫЙ СТАНДАРТ РОССИЙСКОЙ ФЕДЕРАЦИИ</w:t>
      </w:r>
    </w:p>
    <w:p w:rsidR="00000000" w:rsidRDefault="003C1C47">
      <w:pPr>
        <w:pStyle w:val="ConsPlusTitle"/>
        <w:jc w:val="center"/>
      </w:pPr>
    </w:p>
    <w:p w:rsidR="00000000" w:rsidRDefault="003C1C47">
      <w:pPr>
        <w:pStyle w:val="ConsPlusTitle"/>
        <w:jc w:val="center"/>
      </w:pPr>
      <w:r>
        <w:t>РЕКОМЕНД</w:t>
      </w:r>
      <w:r>
        <w:t>АЦИИ</w:t>
      </w:r>
    </w:p>
    <w:p w:rsidR="00000000" w:rsidRDefault="003C1C47">
      <w:pPr>
        <w:pStyle w:val="ConsPlusTitle"/>
        <w:jc w:val="center"/>
      </w:pPr>
      <w:r>
        <w:t>ПО РАЗРАБОТКЕ И ВНЕДРЕНИЮ ПРОЦЕДУР,</w:t>
      </w:r>
    </w:p>
    <w:p w:rsidR="00000000" w:rsidRDefault="003C1C47">
      <w:pPr>
        <w:pStyle w:val="ConsPlusTitle"/>
        <w:jc w:val="center"/>
      </w:pPr>
      <w:r>
        <w:t>ОСНОВАННЫХ НА ПРИНЦИПАХ ХАССП</w:t>
      </w:r>
    </w:p>
    <w:p w:rsidR="00000000" w:rsidRDefault="003C1C47">
      <w:pPr>
        <w:pStyle w:val="ConsPlusTitle"/>
        <w:jc w:val="center"/>
      </w:pPr>
    </w:p>
    <w:p w:rsidR="00000000" w:rsidRDefault="003C1C47">
      <w:pPr>
        <w:pStyle w:val="ConsPlusTitle"/>
        <w:jc w:val="center"/>
      </w:pPr>
      <w:r>
        <w:t>Recommendations on development and implementation</w:t>
      </w:r>
    </w:p>
    <w:p w:rsidR="00000000" w:rsidRDefault="003C1C47">
      <w:pPr>
        <w:pStyle w:val="ConsPlusTitle"/>
        <w:jc w:val="center"/>
      </w:pPr>
      <w:r>
        <w:t>for procedures, based on HACCP principles</w:t>
      </w:r>
    </w:p>
    <w:p w:rsidR="00000000" w:rsidRDefault="003C1C47">
      <w:pPr>
        <w:pStyle w:val="ConsPlusTitle"/>
        <w:jc w:val="center"/>
      </w:pPr>
    </w:p>
    <w:p w:rsidR="00000000" w:rsidRDefault="003C1C47">
      <w:pPr>
        <w:pStyle w:val="ConsPlusTitle"/>
        <w:jc w:val="center"/>
      </w:pPr>
      <w:r>
        <w:t>ГОСТ Р 56671-2015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right"/>
      </w:pPr>
      <w:r>
        <w:t>Группа Т59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right"/>
      </w:pPr>
      <w:r>
        <w:t>ОКС 03.120.10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right"/>
      </w:pPr>
      <w:r>
        <w:t>Дата введения</w:t>
      </w:r>
    </w:p>
    <w:p w:rsidR="00000000" w:rsidRDefault="003C1C47">
      <w:pPr>
        <w:pStyle w:val="ConsPlusNormal"/>
        <w:jc w:val="right"/>
      </w:pPr>
      <w:r>
        <w:t>1 июля 2016 года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center"/>
        <w:outlineLvl w:val="1"/>
      </w:pPr>
      <w:r>
        <w:t>Предисловие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ind w:firstLine="540"/>
        <w:jc w:val="both"/>
      </w:pPr>
      <w:r>
        <w:t>1 РАЗРАБОТАН Открытым акционерным обществом "Всероссийский научно-исследовательский институт сертификации" (ОАО "ВНИИС")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2 ВНЕСЕН Управлением технического регулирования и стандартизации Федерального агентства по техническому регулированию и метрологии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3 УТ</w:t>
      </w:r>
      <w:r>
        <w:t xml:space="preserve">ВЕРЖДЕН И ВВЕДЕН В ДЕЙСТВИЕ </w:t>
      </w:r>
      <w:hyperlink r:id="rId14" w:history="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23 октября 2015 г. N 1627-ст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4 ВВЕД</w:t>
      </w:r>
      <w:r>
        <w:t>ЕН ВПЕРВЫЕ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ind w:firstLine="540"/>
        <w:jc w:val="both"/>
      </w:pPr>
      <w:r>
        <w:t xml:space="preserve">Правила применения настоящего стандарта установлены в ГОСТ Р 1.0-2012 </w:t>
      </w:r>
      <w:hyperlink r:id="rId15" w:history="1">
        <w:r>
          <w:rPr>
            <w:color w:val="0000FF"/>
          </w:rPr>
          <w:t>(раздел 8)</w:t>
        </w:r>
      </w:hyperlink>
      <w:r>
        <w:t xml:space="preserve">. Информация об изменениях к настоящему стандарту </w:t>
      </w:r>
      <w:r>
        <w:t>публикуется в ежегодном (по состоянию на 1 января текущего года) информационном указателе "Национальные стандарты", а официальный текст изменений и поправок - в ежемесячном информационном указателе "Национальные стандарты". В случае пересмотра (замены) или</w:t>
      </w:r>
      <w:r>
        <w:t xml:space="preserve"> отмены настоящего стандарта соответствующее уведомление будет опубликовано в ближайшем выпуске ежемесячного информационного указателя "Национальные стандарты". Соответствующая информация, уведомление и тексты размещаются также в информационной системе общ</w:t>
      </w:r>
      <w:r>
        <w:t xml:space="preserve">его пользования - на официальном сайте Федерального агентства по техническому регулированию и метрологии в сети Интернет </w:t>
      </w:r>
      <w:r>
        <w:lastRenderedPageBreak/>
        <w:t>(www.gost.ru)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center"/>
        <w:outlineLvl w:val="1"/>
      </w:pPr>
      <w:r>
        <w:t>1. Область применения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ind w:firstLine="540"/>
        <w:jc w:val="both"/>
      </w:pPr>
      <w:r>
        <w:t xml:space="preserve">Настоящие рекомендации предназначены для использования на предприятиях пищевой промышленности, в </w:t>
      </w:r>
      <w:r>
        <w:t xml:space="preserve">первую очередь, малого и среднего бизнеса, при выполнении ими требований </w:t>
      </w:r>
      <w:hyperlink r:id="rId16" w:history="1">
        <w:r>
          <w:rPr>
            <w:color w:val="0000FF"/>
          </w:rPr>
          <w:t>главы 3</w:t>
        </w:r>
      </w:hyperlink>
      <w:r>
        <w:t xml:space="preserve"> Технического регламента Таможенного союза ТР ТС 021 "Требова</w:t>
      </w:r>
      <w:r>
        <w:t>ния к процессам производства (изготовления), хранения, перевозки (транспортирования), реализации" в части разработки и внедрения процедур, основанных на принципах ХАССП.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center"/>
        <w:outlineLvl w:val="1"/>
      </w:pPr>
      <w:r>
        <w:t>2. Нормативные ссылки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ind w:firstLine="540"/>
        <w:jc w:val="both"/>
      </w:pPr>
      <w:r>
        <w:t>В настоящем стандарте использованы нормативные ссылки на следу</w:t>
      </w:r>
      <w:r>
        <w:t>ющие документы.</w:t>
      </w:r>
    </w:p>
    <w:p w:rsidR="00000000" w:rsidRDefault="003C1C47">
      <w:pPr>
        <w:pStyle w:val="ConsPlusNormal"/>
        <w:spacing w:before="240"/>
        <w:ind w:firstLine="540"/>
        <w:jc w:val="both"/>
      </w:pPr>
      <w:hyperlink r:id="rId17" w:history="1">
        <w:r>
          <w:rPr>
            <w:color w:val="0000FF"/>
          </w:rPr>
          <w:t>ГОСТ ISO 9000-2011</w:t>
        </w:r>
      </w:hyperlink>
      <w:r>
        <w:t xml:space="preserve"> Системы менеджмента качества. Основные положения и словарь</w:t>
      </w:r>
    </w:p>
    <w:p w:rsidR="00000000" w:rsidRDefault="003C1C47">
      <w:pPr>
        <w:pStyle w:val="ConsPlusNormal"/>
        <w:spacing w:before="240"/>
        <w:ind w:firstLine="540"/>
        <w:jc w:val="both"/>
      </w:pPr>
      <w:hyperlink r:id="rId18" w:history="1">
        <w:r>
          <w:rPr>
            <w:color w:val="0000FF"/>
          </w:rPr>
          <w:t>ГОСТ Р ИСО 22000-2007</w:t>
        </w:r>
      </w:hyperlink>
      <w:r>
        <w:t xml:space="preserve"> Системы менеджмента безопасности пищевой продукции. Требования к организациям, участвующим в цепи создания пищевой продукции</w:t>
      </w:r>
    </w:p>
    <w:p w:rsidR="00000000" w:rsidRDefault="003C1C47">
      <w:pPr>
        <w:pStyle w:val="ConsPlusNormal"/>
        <w:spacing w:before="240"/>
        <w:ind w:firstLine="540"/>
        <w:jc w:val="both"/>
      </w:pPr>
      <w:hyperlink r:id="rId19" w:history="1">
        <w:r>
          <w:rPr>
            <w:color w:val="0000FF"/>
          </w:rPr>
          <w:t>ГОСТ Р 51074-2003</w:t>
        </w:r>
      </w:hyperlink>
      <w:r>
        <w:t xml:space="preserve"> Продукты пищевые. Информация для потребителя. Общие требования</w:t>
      </w:r>
    </w:p>
    <w:p w:rsidR="00000000" w:rsidRDefault="003C1C47">
      <w:pPr>
        <w:pStyle w:val="ConsPlusNormal"/>
        <w:spacing w:before="240"/>
        <w:ind w:firstLine="540"/>
        <w:jc w:val="both"/>
      </w:pPr>
      <w:hyperlink r:id="rId20" w:history="1">
        <w:r>
          <w:rPr>
            <w:color w:val="0000FF"/>
          </w:rPr>
          <w:t>ГОСТ Р 51705.1-2001</w:t>
        </w:r>
      </w:hyperlink>
      <w:r>
        <w:t xml:space="preserve"> Системы качества. Управление качеством пищевых продуктов на основе принципов ХАССП. Общие требования</w:t>
      </w:r>
    </w:p>
    <w:p w:rsidR="00000000" w:rsidRDefault="003C1C47">
      <w:pPr>
        <w:pStyle w:val="ConsPlusNormal"/>
        <w:spacing w:before="240"/>
        <w:ind w:firstLine="540"/>
        <w:jc w:val="both"/>
      </w:pPr>
      <w:hyperlink r:id="rId21" w:history="1">
        <w:r>
          <w:rPr>
            <w:color w:val="0000FF"/>
          </w:rPr>
          <w:t>ГОСТ Р 54762-2011/ISO/TS 22002-1:2009</w:t>
        </w:r>
      </w:hyperlink>
      <w:r>
        <w:t xml:space="preserve"> Программы предварительн</w:t>
      </w:r>
      <w:r>
        <w:t>ых требований по безопасности пищевой продукции. Часть 1. Производство пищевой продукции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</w:t>
      </w:r>
      <w:r>
        <w:t>йте Федерального агентства по техническому регулированию и метрологии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</w:t>
      </w:r>
      <w:r>
        <w:t>го указателя "Национальные стандарты"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</w:t>
      </w:r>
      <w:r>
        <w:t>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стандарт, на который дана датированная ссылк</w:t>
      </w:r>
      <w:r>
        <w:t xml:space="preserve">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</w:t>
      </w:r>
      <w:r>
        <w:t>части, не затрагивающей эту ссылку.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center"/>
        <w:outlineLvl w:val="1"/>
      </w:pPr>
      <w:r>
        <w:t>3. Термины и определения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ind w:firstLine="540"/>
        <w:jc w:val="both"/>
      </w:pPr>
      <w:r>
        <w:t xml:space="preserve">В настоящем стандарте используются термины и определения, содержащиеся в стандарте </w:t>
      </w:r>
      <w:hyperlink r:id="rId22" w:history="1">
        <w:r>
          <w:rPr>
            <w:color w:val="0000FF"/>
          </w:rPr>
          <w:t>ГОСТ Р ИСО 22000</w:t>
        </w:r>
      </w:hyperlink>
      <w:r>
        <w:t>, а также нижеприведенные термины и определения: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3.1</w:t>
      </w:r>
    </w:p>
    <w:p w:rsidR="00000000" w:rsidRDefault="003C1C4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3"/>
      </w:tblGrid>
      <w:tr w:rsidR="00000000"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ind w:firstLine="567"/>
              <w:jc w:val="both"/>
            </w:pPr>
            <w:r>
              <w:t>ХАССП (анализ рисков и критические контрольные точки) [HACCP (Hazard Analysis and Critical Control Points)]: Концепция, предусматривающая систематическую идентификацию, оценку и управление опасными факторами, существенно влияющими на безопасность продукции</w:t>
            </w:r>
            <w:r>
              <w:t>.</w:t>
            </w: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 xml:space="preserve">[ГОСТ Р 51705.1-2001, </w:t>
            </w:r>
            <w:hyperlink r:id="rId23" w:history="1">
              <w:r>
                <w:rPr>
                  <w:color w:val="0000FF"/>
                </w:rPr>
                <w:t>2.1</w:t>
              </w:r>
            </w:hyperlink>
            <w:r>
              <w:t>]</w:t>
            </w:r>
          </w:p>
        </w:tc>
      </w:tr>
    </w:tbl>
    <w:p w:rsidR="00000000" w:rsidRDefault="003C1C47">
      <w:pPr>
        <w:pStyle w:val="ConsPlusNormal"/>
        <w:spacing w:before="240"/>
        <w:ind w:firstLine="540"/>
        <w:jc w:val="both"/>
      </w:pPr>
      <w:r>
        <w:t>3.2</w:t>
      </w:r>
    </w:p>
    <w:p w:rsidR="00000000" w:rsidRDefault="003C1C4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3"/>
      </w:tblGrid>
      <w:tr w:rsidR="00000000"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ind w:firstLine="567"/>
              <w:jc w:val="both"/>
            </w:pPr>
            <w:r>
              <w:t>система ХАССП: Совокупность требований и мероприятий, обеспечивающих безопасность пищевой продукции в процес</w:t>
            </w:r>
            <w:r>
              <w:t>се производства, хранения, транспортирования или реализации.</w:t>
            </w: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 xml:space="preserve">[ГОСТ Р 51705.1-2001, </w:t>
            </w:r>
            <w:hyperlink r:id="rId24" w:history="1">
              <w:r>
                <w:rPr>
                  <w:color w:val="0000FF"/>
                </w:rPr>
                <w:t>2.2</w:t>
              </w:r>
            </w:hyperlink>
            <w:r>
              <w:t>, термин модифицирован - внесены изменения в текст опреде</w:t>
            </w:r>
            <w:r>
              <w:t>ления]</w:t>
            </w:r>
          </w:p>
        </w:tc>
      </w:tr>
    </w:tbl>
    <w:p w:rsidR="00000000" w:rsidRDefault="003C1C47">
      <w:pPr>
        <w:pStyle w:val="ConsPlusNormal"/>
        <w:spacing w:before="240"/>
        <w:ind w:firstLine="540"/>
        <w:jc w:val="both"/>
      </w:pPr>
      <w:r>
        <w:t>3.3</w:t>
      </w:r>
    </w:p>
    <w:p w:rsidR="00000000" w:rsidRDefault="003C1C4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2"/>
      </w:tblGrid>
      <w:tr w:rsidR="00000000"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ind w:firstLine="567"/>
              <w:jc w:val="both"/>
            </w:pPr>
            <w:r>
              <w:t>опасность, угрожающая безопасности пищевой продукции (food safety hazard): Биологическое, химическое или физическое вещество содержащееся в пищевой продукции, а также состояние пищевой продукции, которые могут потенциально обусловить отрицател</w:t>
            </w:r>
            <w:r>
              <w:t>ьное воздействие на здоровье человека.</w:t>
            </w: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 xml:space="preserve">[ГОСТ Р ИСО 22000-2007, </w:t>
            </w:r>
            <w:hyperlink r:id="rId25" w:history="1">
              <w:r>
                <w:rPr>
                  <w:color w:val="0000FF"/>
                </w:rPr>
                <w:t>3.3</w:t>
              </w:r>
            </w:hyperlink>
            <w:r>
              <w:t>]</w:t>
            </w:r>
          </w:p>
        </w:tc>
      </w:tr>
    </w:tbl>
    <w:p w:rsidR="00000000" w:rsidRDefault="003C1C47">
      <w:pPr>
        <w:pStyle w:val="ConsPlusNormal"/>
        <w:spacing w:before="240"/>
        <w:ind w:firstLine="540"/>
        <w:jc w:val="both"/>
      </w:pPr>
      <w:r>
        <w:t>3.4</w:t>
      </w:r>
    </w:p>
    <w:p w:rsidR="00000000" w:rsidRDefault="003C1C4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2"/>
      </w:tblGrid>
      <w:tr w:rsidR="00000000"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ind w:firstLine="567"/>
              <w:jc w:val="both"/>
            </w:pPr>
            <w:r>
              <w:t>критическая контрольная точка (critical control point): Этап обеспече</w:t>
            </w:r>
            <w:r>
              <w:t>ния безопасности пищевой продукции, на котором важно осуществить мероприятие по управлению с целью предупреждения, устранения или снижения до приемлемого уровня опасности, угрожающей безопасности пищевой продукции.</w:t>
            </w: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 xml:space="preserve">[ГОСТ Р ИСО 22000-2007, </w:t>
            </w:r>
            <w:hyperlink r:id="rId26" w:history="1">
              <w:r>
                <w:rPr>
                  <w:color w:val="0000FF"/>
                </w:rPr>
                <w:t>3.10</w:t>
              </w:r>
            </w:hyperlink>
            <w:r>
              <w:t>]</w:t>
            </w:r>
          </w:p>
        </w:tc>
      </w:tr>
    </w:tbl>
    <w:p w:rsidR="00000000" w:rsidRDefault="003C1C47">
      <w:pPr>
        <w:pStyle w:val="ConsPlusNormal"/>
        <w:spacing w:before="240"/>
        <w:ind w:firstLine="540"/>
        <w:jc w:val="both"/>
      </w:pPr>
      <w:r>
        <w:t>3.5</w:t>
      </w:r>
    </w:p>
    <w:p w:rsidR="00000000" w:rsidRDefault="003C1C4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4"/>
      </w:tblGrid>
      <w:tr w:rsidR="00000000"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ind w:firstLine="567"/>
              <w:jc w:val="both"/>
            </w:pPr>
            <w:r>
              <w:t>рабочий лист ХАССП: Документ, содержащий указанную информацию о действиях в одной критической контрольной точке.</w:t>
            </w: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 xml:space="preserve">[ГОСТ Р ИСО 22000-2007, </w:t>
            </w:r>
            <w:hyperlink r:id="rId27" w:history="1">
              <w:r>
                <w:rPr>
                  <w:color w:val="0000FF"/>
                </w:rPr>
                <w:t>введение</w:t>
              </w:r>
            </w:hyperlink>
            <w:r>
              <w:t>]</w:t>
            </w:r>
          </w:p>
        </w:tc>
      </w:tr>
    </w:tbl>
    <w:p w:rsidR="00000000" w:rsidRDefault="003C1C47">
      <w:pPr>
        <w:pStyle w:val="ConsPlusNormal"/>
        <w:spacing w:before="240"/>
        <w:ind w:firstLine="540"/>
        <w:jc w:val="both"/>
      </w:pPr>
      <w:r>
        <w:t>3.6</w:t>
      </w:r>
    </w:p>
    <w:p w:rsidR="00000000" w:rsidRDefault="003C1C4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4"/>
      </w:tblGrid>
      <w:tr w:rsidR="00000000"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ind w:firstLine="567"/>
              <w:jc w:val="both"/>
            </w:pPr>
            <w:r>
              <w:t>план ХАССП: Совокупность рабочих листов.</w:t>
            </w: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 xml:space="preserve">[ГОСТ Р ИСО 22000-2007, </w:t>
            </w:r>
            <w:hyperlink r:id="rId28" w:history="1">
              <w:r>
                <w:rPr>
                  <w:color w:val="0000FF"/>
                </w:rPr>
                <w:t>введение</w:t>
              </w:r>
            </w:hyperlink>
            <w:r>
              <w:t>]</w:t>
            </w:r>
          </w:p>
        </w:tc>
      </w:tr>
    </w:tbl>
    <w:p w:rsidR="00000000" w:rsidRDefault="003C1C47">
      <w:pPr>
        <w:pStyle w:val="ConsPlusNormal"/>
        <w:spacing w:before="240"/>
        <w:ind w:firstLine="540"/>
        <w:jc w:val="both"/>
      </w:pPr>
      <w:r>
        <w:t>3.7</w:t>
      </w:r>
    </w:p>
    <w:p w:rsidR="00000000" w:rsidRDefault="003C1C4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2"/>
      </w:tblGrid>
      <w:tr w:rsidR="00000000"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ind w:firstLine="567"/>
              <w:jc w:val="both"/>
            </w:pPr>
            <w:r>
              <w:t>мероприятие по управлению (control measure): Любое действие или вид деятельности по обеспечению безопасности пищевой продукции, которые могут быть выполнены с целью предупреждения, устранен</w:t>
            </w:r>
            <w:r>
              <w:t>ия или снижения до приемлемого уровня опасности, угрожающей безопасности пищевой продукции.</w:t>
            </w: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 xml:space="preserve">[ГОСТ Р ИСО 22000-2007, </w:t>
            </w:r>
            <w:hyperlink r:id="rId29" w:history="1">
              <w:r>
                <w:rPr>
                  <w:color w:val="0000FF"/>
                </w:rPr>
                <w:t>3.7</w:t>
              </w:r>
            </w:hyperlink>
            <w:r>
              <w:t>]</w:t>
            </w:r>
          </w:p>
        </w:tc>
      </w:tr>
    </w:tbl>
    <w:p w:rsidR="00000000" w:rsidRDefault="003C1C47">
      <w:pPr>
        <w:pStyle w:val="ConsPlusNormal"/>
        <w:spacing w:before="240"/>
        <w:ind w:firstLine="540"/>
        <w:jc w:val="both"/>
      </w:pPr>
      <w:r>
        <w:t>3.8</w:t>
      </w:r>
    </w:p>
    <w:p w:rsidR="00000000" w:rsidRDefault="003C1C4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3"/>
      </w:tblGrid>
      <w:tr w:rsidR="00000000"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ind w:firstLine="567"/>
              <w:jc w:val="both"/>
            </w:pPr>
            <w:r>
              <w:t>программа обязательных предварительных мероприятий (prerequisite program; PRP): Основные условия и виды деятельности по обеспечению безопасности пищевой продукции, которые необходимы для поддержания гигиенических условий на всех этапах цепи создания пищево</w:t>
            </w:r>
            <w:r>
              <w:t>й продукции, приемлемых для производства, обращения и поставки безопасной конечной продукции и безопасной пищевой продукции для употребления человеком в пищу.</w:t>
            </w: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 xml:space="preserve">[ГОСТ Р ИСО 22000-2007, </w:t>
            </w:r>
            <w:hyperlink r:id="rId30" w:history="1">
              <w:r>
                <w:rPr>
                  <w:color w:val="0000FF"/>
                </w:rPr>
                <w:t>3.8</w:t>
              </w:r>
            </w:hyperlink>
            <w:r>
              <w:t>]</w:t>
            </w:r>
          </w:p>
        </w:tc>
      </w:tr>
    </w:tbl>
    <w:p w:rsidR="00000000" w:rsidRDefault="003C1C47">
      <w:pPr>
        <w:pStyle w:val="ConsPlusNormal"/>
        <w:spacing w:before="240"/>
        <w:ind w:firstLine="540"/>
        <w:jc w:val="both"/>
      </w:pPr>
      <w:r>
        <w:t>3.9</w:t>
      </w:r>
    </w:p>
    <w:p w:rsidR="00000000" w:rsidRDefault="003C1C4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2"/>
      </w:tblGrid>
      <w:tr w:rsidR="00000000"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ind w:firstLine="567"/>
              <w:jc w:val="both"/>
            </w:pPr>
            <w:r>
              <w:t>риск: Комбинация вероятности возникновения ущерба и степени серьезности этого ущерба.</w:t>
            </w: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>[ISO/IEC Guide 51:2014, 3.9]</w:t>
            </w:r>
          </w:p>
        </w:tc>
      </w:tr>
    </w:tbl>
    <w:p w:rsidR="00000000" w:rsidRDefault="003C1C47">
      <w:pPr>
        <w:pStyle w:val="ConsPlusNormal"/>
        <w:spacing w:before="240"/>
        <w:ind w:firstLine="540"/>
        <w:jc w:val="both"/>
      </w:pPr>
      <w:r>
        <w:t>3.10</w:t>
      </w:r>
    </w:p>
    <w:p w:rsidR="00000000" w:rsidRDefault="003C1C4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3"/>
      </w:tblGrid>
      <w:tr w:rsidR="00000000"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ind w:firstLine="567"/>
              <w:jc w:val="both"/>
            </w:pPr>
            <w:r>
              <w:t>коррекция (correction): Действие, предпринятое для устранения обнаруженного несоотв</w:t>
            </w:r>
            <w:r>
              <w:t>етствия.</w:t>
            </w: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>Примечание 1 - Коррекция может осуществляться в сочетании с корректирующим действием.</w:t>
            </w: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>Примечание 2 - Коррекция может включать в себя, например, переделку или снижение градации.</w:t>
            </w:r>
          </w:p>
          <w:p w:rsidR="00000000" w:rsidRDefault="003C1C47">
            <w:pPr>
              <w:pStyle w:val="ConsPlusNormal"/>
            </w:pP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 xml:space="preserve">[ГОСТ ISO 9000-2011, </w:t>
            </w:r>
            <w:hyperlink r:id="rId31" w:history="1">
              <w:r>
                <w:rPr>
                  <w:color w:val="0000FF"/>
                </w:rPr>
                <w:t>3.6.6</w:t>
              </w:r>
            </w:hyperlink>
            <w:r>
              <w:t>]</w:t>
            </w:r>
          </w:p>
        </w:tc>
      </w:tr>
    </w:tbl>
    <w:p w:rsidR="00000000" w:rsidRDefault="003C1C47">
      <w:pPr>
        <w:pStyle w:val="ConsPlusNormal"/>
        <w:spacing w:before="240"/>
        <w:ind w:firstLine="540"/>
        <w:jc w:val="both"/>
      </w:pPr>
      <w:r>
        <w:t>3.11</w:t>
      </w:r>
    </w:p>
    <w:p w:rsidR="00000000" w:rsidRDefault="003C1C4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3"/>
      </w:tblGrid>
      <w:tr w:rsidR="00000000"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ind w:firstLine="567"/>
              <w:jc w:val="both"/>
            </w:pPr>
            <w:r>
              <w:t>входная продукция: Сырье, материалы или комплектующие элементы, поставляемые на предприятие и используемые в качестве предметов производства.</w:t>
            </w:r>
          </w:p>
          <w:p w:rsidR="00000000" w:rsidRDefault="003C1C47">
            <w:pPr>
              <w:pStyle w:val="ConsPlusNormal"/>
              <w:ind w:firstLine="567"/>
              <w:jc w:val="both"/>
            </w:pPr>
            <w:r>
              <w:t xml:space="preserve">[Р 50.3.004-99, </w:t>
            </w:r>
            <w:hyperlink r:id="rId32" w:history="1">
              <w:r>
                <w:rPr>
                  <w:color w:val="0000FF"/>
                </w:rPr>
                <w:t>3.6</w:t>
              </w:r>
            </w:hyperlink>
            <w:r>
              <w:t>]</w:t>
            </w:r>
          </w:p>
        </w:tc>
      </w:tr>
    </w:tbl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center"/>
        <w:outlineLvl w:val="1"/>
      </w:pPr>
      <w:r>
        <w:t>4. Общие положения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ind w:firstLine="540"/>
        <w:jc w:val="both"/>
      </w:pPr>
      <w:bookmarkStart w:id="1" w:name="Par90"/>
      <w:bookmarkEnd w:id="1"/>
      <w:r>
        <w:t xml:space="preserve">4.1 Настоящие рекомендации основаны на современном подходе к разработке систем </w:t>
      </w:r>
      <w:r>
        <w:lastRenderedPageBreak/>
        <w:t>ХАССП, который предполагае</w:t>
      </w:r>
      <w:r>
        <w:t>т, что безопасность пищевой продукции обеспечивается путем разработки мероприятий двух уровней: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 xml:space="preserve">1 уровень, называемый в </w:t>
      </w:r>
      <w:hyperlink r:id="rId33" w:history="1">
        <w:r>
          <w:rPr>
            <w:color w:val="0000FF"/>
          </w:rPr>
          <w:t>ГОСТ Р ИСО 22000</w:t>
        </w:r>
      </w:hyperlink>
      <w:r>
        <w:t xml:space="preserve"> "Программой предварительн</w:t>
      </w:r>
      <w:r>
        <w:t xml:space="preserve">ых мероприятий", которая включает в себя санитарно-гигиенические и планово-предупреждающие действия общего характера. Они направлены на выполнение требований </w:t>
      </w:r>
      <w:hyperlink r:id="rId34" w:history="1">
        <w:r>
          <w:rPr>
            <w:color w:val="0000FF"/>
          </w:rPr>
          <w:t>статьи 10, п. 3</w:t>
        </w:r>
      </w:hyperlink>
      <w:r>
        <w:t xml:space="preserve"> - </w:t>
      </w:r>
      <w:hyperlink r:id="rId35" w:history="1">
        <w:r>
          <w:rPr>
            <w:color w:val="0000FF"/>
          </w:rPr>
          <w:t>4)</w:t>
        </w:r>
      </w:hyperlink>
      <w:r>
        <w:t xml:space="preserve"> </w:t>
      </w:r>
      <w:hyperlink r:id="rId36" w:history="1">
        <w:r>
          <w:rPr>
            <w:color w:val="0000FF"/>
          </w:rPr>
          <w:t>5)</w:t>
        </w:r>
      </w:hyperlink>
      <w:r>
        <w:t xml:space="preserve"> </w:t>
      </w:r>
      <w:hyperlink r:id="rId37" w:history="1">
        <w:r>
          <w:rPr>
            <w:color w:val="0000FF"/>
          </w:rPr>
          <w:t>7</w:t>
        </w:r>
      </w:hyperlink>
      <w:r>
        <w:t xml:space="preserve"> - </w:t>
      </w:r>
      <w:hyperlink r:id="rId38" w:history="1">
        <w:r>
          <w:rPr>
            <w:color w:val="0000FF"/>
          </w:rPr>
          <w:t>12)</w:t>
        </w:r>
      </w:hyperlink>
      <w:r>
        <w:t xml:space="preserve">, </w:t>
      </w:r>
      <w:hyperlink r:id="rId39" w:history="1">
        <w:r>
          <w:rPr>
            <w:color w:val="0000FF"/>
          </w:rPr>
          <w:t>статьи 11 п. 3</w:t>
        </w:r>
      </w:hyperlink>
      <w:r>
        <w:t xml:space="preserve"> - </w:t>
      </w:r>
      <w:hyperlink r:id="rId40" w:history="1">
        <w:r>
          <w:rPr>
            <w:color w:val="0000FF"/>
          </w:rPr>
          <w:t>7)</w:t>
        </w:r>
      </w:hyperlink>
      <w:r>
        <w:t xml:space="preserve"> </w:t>
      </w:r>
      <w:hyperlink r:id="rId41" w:history="1">
        <w:r>
          <w:rPr>
            <w:color w:val="0000FF"/>
          </w:rPr>
          <w:t>8)</w:t>
        </w:r>
      </w:hyperlink>
      <w:r>
        <w:t xml:space="preserve">, пп. 4, 5, 6, 7, </w:t>
      </w:r>
      <w:hyperlink r:id="rId42" w:history="1">
        <w:r>
          <w:rPr>
            <w:color w:val="0000FF"/>
          </w:rPr>
          <w:t>статей 12</w:t>
        </w:r>
      </w:hyperlink>
      <w:r>
        <w:t xml:space="preserve"> - </w:t>
      </w:r>
      <w:hyperlink r:id="rId43" w:history="1">
        <w:r>
          <w:rPr>
            <w:color w:val="0000FF"/>
          </w:rPr>
          <w:t>20</w:t>
        </w:r>
      </w:hyperlink>
      <w:r>
        <w:t xml:space="preserve"> ТР ТС 021 и в общем случае не зависят от выбора опасных факторов.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2 уровень - это действия в критических контрольных точках, которые с учето</w:t>
      </w:r>
      <w:r>
        <w:t>м мероприятий 1-го уровня, должны обеспечить устранение или снижение до допустимого уровня всех учитываемых опасных факторов. Данный подход иллюстрируется схемой, представленной на рисунке 1.</w:t>
      </w:r>
    </w:p>
    <w:p w:rsidR="00000000" w:rsidRDefault="003C1C47">
      <w:pPr>
        <w:pStyle w:val="ConsPlusNormal"/>
        <w:jc w:val="both"/>
      </w:pPr>
    </w:p>
    <w:p w:rsidR="00000000" w:rsidRDefault="00143AD8">
      <w:pPr>
        <w:pStyle w:val="ConsPlusNormal"/>
        <w:jc w:val="center"/>
      </w:pPr>
      <w:r>
        <w:rPr>
          <w:noProof/>
          <w:position w:val="-360"/>
        </w:rPr>
        <w:drawing>
          <wp:inline distT="0" distB="0" distL="0" distR="0">
            <wp:extent cx="5991225" cy="472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center"/>
      </w:pPr>
      <w:r>
        <w:t>Рисунок 1 - Анализ опасно</w:t>
      </w:r>
      <w:r>
        <w:t>стей и их устранение</w:t>
      </w:r>
    </w:p>
    <w:p w:rsidR="00000000" w:rsidRDefault="003C1C47">
      <w:pPr>
        <w:pStyle w:val="ConsPlusNormal"/>
        <w:jc w:val="center"/>
      </w:pPr>
      <w:r>
        <w:t>в процессе производства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ind w:firstLine="540"/>
        <w:jc w:val="both"/>
      </w:pPr>
      <w:r>
        <w:t xml:space="preserve">4.2 Сравнительный анализ требований </w:t>
      </w:r>
      <w:hyperlink r:id="rId45" w:history="1">
        <w:r>
          <w:rPr>
            <w:color w:val="0000FF"/>
          </w:rPr>
          <w:t>главы 3</w:t>
        </w:r>
      </w:hyperlink>
      <w:r>
        <w:t xml:space="preserve"> ТР ТС 021 и </w:t>
      </w:r>
      <w:hyperlink r:id="rId46" w:history="1">
        <w:r>
          <w:rPr>
            <w:color w:val="0000FF"/>
          </w:rPr>
          <w:t>ГОСТ Р ИСО 22000</w:t>
        </w:r>
      </w:hyperlink>
      <w:r>
        <w:t xml:space="preserve"> в сочетании с </w:t>
      </w:r>
      <w:hyperlink r:id="rId47" w:history="1">
        <w:r>
          <w:rPr>
            <w:color w:val="0000FF"/>
          </w:rPr>
          <w:t>ГОСТ Р 54762-2011/ISO/TS 22002-1:2009</w:t>
        </w:r>
      </w:hyperlink>
      <w:r>
        <w:t xml:space="preserve"> с другой стороны показывает, что упомян</w:t>
      </w:r>
      <w:r>
        <w:t xml:space="preserve">утые </w:t>
      </w:r>
      <w:r>
        <w:lastRenderedPageBreak/>
        <w:t xml:space="preserve">стандарты содержат практически все требования </w:t>
      </w:r>
      <w:hyperlink r:id="rId48" w:history="1">
        <w:r>
          <w:rPr>
            <w:color w:val="0000FF"/>
          </w:rPr>
          <w:t>ТР ТС 021</w:t>
        </w:r>
      </w:hyperlink>
      <w:r>
        <w:t xml:space="preserve"> и еще ряд дополнительных требований. Поэтому можно сделать вывод о том, что если</w:t>
      </w:r>
      <w:r>
        <w:t xml:space="preserve"> предприятие внедрило </w:t>
      </w:r>
      <w:hyperlink r:id="rId49" w:history="1">
        <w:r>
          <w:rPr>
            <w:color w:val="0000FF"/>
          </w:rPr>
          <w:t>ГОСТ Р ИСО 22000</w:t>
        </w:r>
      </w:hyperlink>
      <w:r>
        <w:t xml:space="preserve"> (совместно с </w:t>
      </w:r>
      <w:hyperlink r:id="rId50" w:history="1">
        <w:r>
          <w:rPr>
            <w:color w:val="0000FF"/>
          </w:rPr>
          <w:t>ГОСТ Р 54762-2011/IS</w:t>
        </w:r>
        <w:r>
          <w:rPr>
            <w:color w:val="0000FF"/>
          </w:rPr>
          <w:t>O/TS 22002-1:2009</w:t>
        </w:r>
      </w:hyperlink>
      <w:r>
        <w:t xml:space="preserve">) и может продемонстрировать соответствие его требованиям, то требования </w:t>
      </w:r>
      <w:hyperlink r:id="rId51" w:history="1">
        <w:r>
          <w:rPr>
            <w:color w:val="0000FF"/>
          </w:rPr>
          <w:t>главы 3</w:t>
        </w:r>
      </w:hyperlink>
      <w:r>
        <w:t xml:space="preserve"> ТР ТС 021 автоматически выполняются.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 xml:space="preserve">4.3 Существенно меньший состав требований в </w:t>
      </w:r>
      <w:hyperlink r:id="rId52" w:history="1">
        <w:r>
          <w:rPr>
            <w:color w:val="0000FF"/>
          </w:rPr>
          <w:t>главе 3</w:t>
        </w:r>
      </w:hyperlink>
      <w:r>
        <w:t xml:space="preserve"> ТР ТС 021 обусловлен необходимостью массового (поголовного) его выполнения. Поэтому следу</w:t>
      </w:r>
      <w:r>
        <w:t xml:space="preserve">ет либо внедрить </w:t>
      </w:r>
      <w:hyperlink r:id="rId53" w:history="1">
        <w:r>
          <w:rPr>
            <w:color w:val="0000FF"/>
          </w:rPr>
          <w:t>ГОСТ Р ИСО 22000</w:t>
        </w:r>
      </w:hyperlink>
      <w:r>
        <w:t xml:space="preserve">, получая в ряде случаев дополнительные преимущества, либо не выходить за рамки требований </w:t>
      </w:r>
      <w:hyperlink r:id="rId54" w:history="1">
        <w:r>
          <w:rPr>
            <w:color w:val="0000FF"/>
          </w:rPr>
          <w:t>ТР ТС 021</w:t>
        </w:r>
      </w:hyperlink>
      <w:r>
        <w:t>, что позволит минимизировать затраты на его внедрение, что особенно важно для предприятий малого и среднего бизнеса.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center"/>
        <w:outlineLvl w:val="1"/>
      </w:pPr>
      <w:r>
        <w:t>5. Последовательность разработки заводских документов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ind w:firstLine="540"/>
        <w:jc w:val="both"/>
      </w:pPr>
      <w:r>
        <w:t xml:space="preserve">Рекомендуемая последовательность разработки документации на предприятии для выполнения требований </w:t>
      </w:r>
      <w:hyperlink r:id="rId55" w:history="1">
        <w:r>
          <w:rPr>
            <w:color w:val="0000FF"/>
          </w:rPr>
          <w:t>ТР ТС 021</w:t>
        </w:r>
      </w:hyperlink>
      <w:r>
        <w:t xml:space="preserve"> в развитие рассмотренного в </w:t>
      </w:r>
      <w:hyperlink w:anchor="Par90" w:tooltip="4.1 Настоящие рекомендации основаны на современном подходе к разработке систем ХАССП, который предполагает, что безопасность пищевой продукции обеспечивается путем разработки мероприятий двух уровней:" w:history="1">
        <w:r>
          <w:rPr>
            <w:color w:val="0000FF"/>
          </w:rPr>
          <w:t>4.1</w:t>
        </w:r>
      </w:hyperlink>
      <w:r>
        <w:t xml:space="preserve"> подхода представлена на рисунке 2.</w:t>
      </w:r>
    </w:p>
    <w:p w:rsidR="00000000" w:rsidRDefault="003C1C47">
      <w:pPr>
        <w:pStyle w:val="ConsPlusNormal"/>
        <w:jc w:val="both"/>
      </w:pPr>
    </w:p>
    <w:p w:rsidR="00000000" w:rsidRDefault="00143AD8">
      <w:pPr>
        <w:pStyle w:val="ConsPlusNormal"/>
        <w:jc w:val="center"/>
      </w:pPr>
      <w:r>
        <w:rPr>
          <w:noProof/>
          <w:position w:val="-437"/>
        </w:rPr>
        <w:lastRenderedPageBreak/>
        <w:drawing>
          <wp:inline distT="0" distB="0" distL="0" distR="0">
            <wp:extent cx="5972175" cy="5705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C1C47">
      <w:pPr>
        <w:pStyle w:val="ConsPlusNormal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C1C4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C1C4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глава 3 ТР ТС 021/2011, а не статья 3 ТР ТС 021/2011.</w:t>
            </w:r>
          </w:p>
        </w:tc>
      </w:tr>
    </w:tbl>
    <w:p w:rsidR="00000000" w:rsidRDefault="003C1C47">
      <w:pPr>
        <w:pStyle w:val="ConsPlusNormal"/>
        <w:spacing w:before="300"/>
        <w:jc w:val="center"/>
      </w:pPr>
      <w:r>
        <w:t>Рисунок 2 - Этапы разработки заводской документации</w:t>
      </w:r>
    </w:p>
    <w:p w:rsidR="00000000" w:rsidRDefault="003C1C47">
      <w:pPr>
        <w:pStyle w:val="ConsPlusNormal"/>
        <w:jc w:val="center"/>
      </w:pPr>
      <w:r>
        <w:t xml:space="preserve">по выполнению требований </w:t>
      </w:r>
      <w:hyperlink r:id="rId57" w:history="1">
        <w:r>
          <w:rPr>
            <w:color w:val="0000FF"/>
          </w:rPr>
          <w:t>статьи 3</w:t>
        </w:r>
      </w:hyperlink>
      <w:r>
        <w:t xml:space="preserve"> ТР ТС 021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ind w:firstLine="540"/>
        <w:jc w:val="both"/>
      </w:pPr>
      <w:r>
        <w:t>5.1 Составление программы предварительных м</w:t>
      </w:r>
      <w:r>
        <w:t>ероприятий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 xml:space="preserve">В данную программу войдут как мероприятия прямого действия, так и непрямого действия, т.е. для которых необходима разработка документированных заводских документов, в первую очередь по выполнению </w:t>
      </w:r>
      <w:hyperlink r:id="rId58" w:history="1">
        <w:r>
          <w:rPr>
            <w:color w:val="0000FF"/>
          </w:rPr>
          <w:t>3 статьи 10</w:t>
        </w:r>
      </w:hyperlink>
      <w:r>
        <w:t>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lastRenderedPageBreak/>
        <w:t>Разработка этих процедур необходима, но является достаточно трудоемкой. Для оказания содействия предприятиям, и в первую очередь малому и среднему бизнесу, целесообразна разрабо</w:t>
      </w:r>
      <w:r>
        <w:t xml:space="preserve">тка типовых процедур, учитывающих особенности каждой отрасли. Перечень основных разрабатываемых документов представлен в </w:t>
      </w:r>
      <w:hyperlink w:anchor="Par152" w:tooltip="ПЕРЕЧЕНЬ" w:history="1">
        <w:r>
          <w:rPr>
            <w:color w:val="0000FF"/>
          </w:rPr>
          <w:t>приложении А</w:t>
        </w:r>
      </w:hyperlink>
      <w:r>
        <w:t>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5.2 Составление блок-схем технологических процессов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 xml:space="preserve">Разработка блок-схем технологических процессов (ТП) не представляет особой сложности (пример представлен в </w:t>
      </w:r>
      <w:hyperlink r:id="rId59" w:history="1">
        <w:r>
          <w:rPr>
            <w:color w:val="0000FF"/>
          </w:rPr>
          <w:t>приложении А</w:t>
        </w:r>
      </w:hyperlink>
      <w:r>
        <w:t xml:space="preserve"> ГОСТ Р 51705.1). Осново</w:t>
      </w:r>
      <w:r>
        <w:t>й для их составления служат технологические инструкции, которые должны содержать описание технологических операций (ТП) производства каждого вида продукции в последовательности их выполнения с указанием применяемого оборудования и контролируемых параметров</w:t>
      </w:r>
      <w:r>
        <w:t>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5.3 Составление перечня опасных факторов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 xml:space="preserve">В </w:t>
      </w:r>
      <w:hyperlink r:id="rId60" w:history="1">
        <w:r>
          <w:rPr>
            <w:color w:val="0000FF"/>
          </w:rPr>
          <w:t>приложениях 1</w:t>
        </w:r>
      </w:hyperlink>
      <w:r>
        <w:t xml:space="preserve"> - </w:t>
      </w:r>
      <w:hyperlink r:id="rId61" w:history="1">
        <w:r>
          <w:rPr>
            <w:color w:val="0000FF"/>
          </w:rPr>
          <w:t>6</w:t>
        </w:r>
      </w:hyperlink>
      <w:r>
        <w:t xml:space="preserve"> к ТР ТС 021 приведены перечни опасных факторов (ОФ) по группам продукции - до 10 на каждую группу. Вместе с тем в них не учтены физические опасности, такие как стекло, пластик, металл и др.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Согласно действующим стандарт</w:t>
      </w:r>
      <w:r>
        <w:t xml:space="preserve">ам </w:t>
      </w:r>
      <w:hyperlink r:id="rId62" w:history="1">
        <w:r>
          <w:rPr>
            <w:color w:val="0000FF"/>
          </w:rPr>
          <w:t>ГОСТ Р 51705.1</w:t>
        </w:r>
      </w:hyperlink>
      <w:r>
        <w:t xml:space="preserve"> и </w:t>
      </w:r>
      <w:hyperlink r:id="rId63" w:history="1">
        <w:r>
          <w:rPr>
            <w:color w:val="0000FF"/>
          </w:rPr>
          <w:t>ГОСТ Р ИСО 22000</w:t>
        </w:r>
      </w:hyperlink>
      <w:r>
        <w:t xml:space="preserve"> перечень учитываемых опасностей</w:t>
      </w:r>
      <w:r>
        <w:t xml:space="preserve"> должен составляться с помощью анализа рисков (например, по диаграмме, представленной в </w:t>
      </w:r>
      <w:hyperlink r:id="rId64" w:history="1">
        <w:r>
          <w:rPr>
            <w:color w:val="0000FF"/>
          </w:rPr>
          <w:t>приложении Б</w:t>
        </w:r>
      </w:hyperlink>
      <w:r>
        <w:t xml:space="preserve"> ГОСТ Р 51705.1).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Для однородных производст</w:t>
      </w:r>
      <w:r>
        <w:t>в возможно составить типовые перечни опасных факторов.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5.4 Анализ ТП и составление мероприятий по управлению в критических контрольных точках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Этот этап является самым сложным и ответственным, т.к. в результате его выполнения обосновывается набор мероприяти</w:t>
      </w:r>
      <w:r>
        <w:t>й второго уровня, которые в совокупности с мероприятиями первого уровня обеспечивают безопасность выпускаемой продукции.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Анализ заключается в последовательном рассмотрении операций ТП (по составленной на этапе 2 блок-схеме) и обосновании дополнительных мер</w:t>
      </w:r>
      <w:r>
        <w:t xml:space="preserve">оприятий, называемых в стандарте </w:t>
      </w:r>
      <w:hyperlink r:id="rId65" w:history="1">
        <w:r>
          <w:rPr>
            <w:color w:val="0000FF"/>
          </w:rPr>
          <w:t>ГОСТ Р ИСО 22000</w:t>
        </w:r>
      </w:hyperlink>
      <w:r>
        <w:t xml:space="preserve"> мероприятиями по управлению.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При этом автоматически определяются критические контрольные точки (ККТ) как места п</w:t>
      </w:r>
      <w:r>
        <w:t xml:space="preserve">рименения мероприятий по управлению. Тем самым выполняется требование ТР ТС 021 </w:t>
      </w:r>
      <w:hyperlink r:id="rId66" w:history="1">
        <w:r>
          <w:rPr>
            <w:color w:val="0000FF"/>
          </w:rPr>
          <w:t>(статья 11, 3-2)</w:t>
        </w:r>
      </w:hyperlink>
      <w:r>
        <w:t xml:space="preserve"> о составлении ККТ.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Примечание - Для однородн</w:t>
      </w:r>
      <w:r>
        <w:t>ых производств возможно составление общих перечней ККТ.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ind w:firstLine="540"/>
        <w:jc w:val="both"/>
      </w:pPr>
      <w:r>
        <w:t>5.5 Составление плана ХАССП</w:t>
      </w:r>
    </w:p>
    <w:p w:rsidR="00000000" w:rsidRDefault="003C1C47">
      <w:pPr>
        <w:pStyle w:val="ConsPlusNormal"/>
        <w:spacing w:before="240"/>
        <w:ind w:firstLine="540"/>
        <w:jc w:val="both"/>
      </w:pPr>
      <w:hyperlink r:id="rId67" w:history="1">
        <w:r>
          <w:rPr>
            <w:color w:val="0000FF"/>
          </w:rPr>
          <w:t>ТР ТС 021</w:t>
        </w:r>
      </w:hyperlink>
      <w:r>
        <w:t xml:space="preserve"> предусматривает установление предельных значен</w:t>
      </w:r>
      <w:r>
        <w:t>ий параметров, контролируемых в ККТ, их мониторинг и действий в случае нарушения предельных значений.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В действующих стандартах и сложившейся практике описание действий в ККТ называют рабочими листами ХАССП.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lastRenderedPageBreak/>
        <w:t xml:space="preserve">Составление рабочих листов ХАССП не представляет </w:t>
      </w:r>
      <w:r>
        <w:t xml:space="preserve">особой сложности, их форма дана в </w:t>
      </w:r>
      <w:hyperlink r:id="rId68" w:history="1">
        <w:r>
          <w:rPr>
            <w:color w:val="0000FF"/>
          </w:rPr>
          <w:t>приложении Г</w:t>
        </w:r>
      </w:hyperlink>
      <w:r>
        <w:t xml:space="preserve"> ГОСТ Р 51705.1, которая, однако, нуждается в некоторой модернизации.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center"/>
        <w:outlineLvl w:val="1"/>
      </w:pPr>
      <w:r>
        <w:t>6. Рекомендации по обеспеч</w:t>
      </w:r>
      <w:r>
        <w:t>ению соответствия предприятия</w:t>
      </w:r>
    </w:p>
    <w:p w:rsidR="00000000" w:rsidRDefault="003C1C47">
      <w:pPr>
        <w:pStyle w:val="ConsPlusNormal"/>
        <w:jc w:val="center"/>
      </w:pPr>
      <w:r>
        <w:t xml:space="preserve">требованиям </w:t>
      </w:r>
      <w:hyperlink r:id="rId69" w:history="1">
        <w:r>
          <w:rPr>
            <w:color w:val="0000FF"/>
          </w:rPr>
          <w:t>главы 3</w:t>
        </w:r>
      </w:hyperlink>
      <w:r>
        <w:t xml:space="preserve"> ТР ТС 021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ind w:firstLine="540"/>
        <w:jc w:val="both"/>
      </w:pPr>
      <w:r>
        <w:t xml:space="preserve">6.1 Обеспечение соответствия предприятия требованиям </w:t>
      </w:r>
      <w:hyperlink r:id="rId70" w:history="1">
        <w:r>
          <w:rPr>
            <w:color w:val="0000FF"/>
          </w:rPr>
          <w:t>главы 3</w:t>
        </w:r>
      </w:hyperlink>
      <w:r>
        <w:t xml:space="preserve"> ТР ТС 021 может быть в форме: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- применения нормативного документа на продукцию (ТУ, СТО, ГОСТ);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- применения технологической инструкции;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- программы производств</w:t>
      </w:r>
      <w:r>
        <w:t>енного контроля (наличие которой является необходимым);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 xml:space="preserve">- внедрение документированных процедур (заводских инструкций или СТО), разрабатываемых согласно </w:t>
      </w:r>
      <w:hyperlink w:anchor="Par152" w:tooltip="ПЕРЕЧЕНЬ" w:history="1">
        <w:r>
          <w:rPr>
            <w:color w:val="0000FF"/>
          </w:rPr>
          <w:t>приложению А</w:t>
        </w:r>
      </w:hyperlink>
      <w:r>
        <w:t>;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- реализации требований прямого действия;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- реализации действий в критических контрольных точках.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6.2 По каждому требованию и (или) документу на предприятии должно быть назначено ответственное лицо и проводиться систематический мониторинг (или внутренний аудит) для подтверждения их выполнения на п</w:t>
      </w:r>
      <w:r>
        <w:t>редприятии.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right"/>
        <w:outlineLvl w:val="0"/>
      </w:pPr>
      <w:r>
        <w:t>Приложение А</w:t>
      </w:r>
    </w:p>
    <w:p w:rsidR="00000000" w:rsidRDefault="003C1C47">
      <w:pPr>
        <w:pStyle w:val="ConsPlusNormal"/>
        <w:jc w:val="right"/>
      </w:pPr>
      <w:r>
        <w:t>(обязательное)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center"/>
      </w:pPr>
      <w:bookmarkStart w:id="2" w:name="Par152"/>
      <w:bookmarkEnd w:id="2"/>
      <w:r>
        <w:t>ПЕРЕЧЕНЬ</w:t>
      </w:r>
    </w:p>
    <w:p w:rsidR="00000000" w:rsidRDefault="003C1C47">
      <w:pPr>
        <w:pStyle w:val="ConsPlusNormal"/>
        <w:jc w:val="center"/>
      </w:pPr>
      <w:r>
        <w:t>ОСНОВНЫХ РАЗРАБАТЫВАЕМЫХ ДОКУМЕНТОВ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ind w:firstLine="540"/>
        <w:jc w:val="both"/>
      </w:pPr>
      <w:r>
        <w:t>1) Входной контроль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2) Обеспечение работоспособности средств измерения, сит и металлоуловителей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3) Предотвращение попадания физических загрязнений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4) До</w:t>
      </w:r>
      <w:r>
        <w:t>кументирование информации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5) Хранение сырья, материалов и готовой продукции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6) Санитарная обработка оборудования и инвентаря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7) Уборка и санитарная обработка помещений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lastRenderedPageBreak/>
        <w:t>8) Санитарно-гигиенические требования для персонала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9) Борьба с вредителями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10) Прослежи</w:t>
      </w:r>
      <w:r>
        <w:t>ваемость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11) Удаление отходов</w:t>
      </w:r>
    </w:p>
    <w:p w:rsidR="00000000" w:rsidRDefault="003C1C47">
      <w:pPr>
        <w:pStyle w:val="ConsPlusNormal"/>
        <w:spacing w:before="240"/>
        <w:ind w:firstLine="540"/>
        <w:jc w:val="both"/>
      </w:pPr>
      <w:r>
        <w:t>12) Управление несоответствующей продукцией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right"/>
        <w:outlineLvl w:val="0"/>
      </w:pPr>
      <w:r>
        <w:t>Приложение ДА</w:t>
      </w:r>
    </w:p>
    <w:p w:rsidR="00000000" w:rsidRDefault="003C1C47">
      <w:pPr>
        <w:pStyle w:val="ConsPlusNormal"/>
        <w:jc w:val="right"/>
      </w:pPr>
      <w:r>
        <w:t>(справочное)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center"/>
      </w:pPr>
      <w:r>
        <w:t>СВЕДЕНИЯ О СООТВЕТСТВИИ ССЫЛОЧНЫХ МЕЖДУНАРОДНЫХ СТАНДАРТОВ</w:t>
      </w:r>
    </w:p>
    <w:p w:rsidR="00000000" w:rsidRDefault="003C1C47">
      <w:pPr>
        <w:pStyle w:val="ConsPlusNormal"/>
        <w:jc w:val="center"/>
      </w:pPr>
      <w:r>
        <w:t>НАЦИОНАЛЬНЫМ СТАНДАРТАМ РОССИЙСКОЙ ФЕДЕРАЦИИ</w:t>
      </w:r>
    </w:p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right"/>
      </w:pPr>
      <w:r>
        <w:t>Таблица ДА.1</w:t>
      </w:r>
    </w:p>
    <w:p w:rsidR="00000000" w:rsidRDefault="003C1C4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5"/>
        <w:gridCol w:w="1162"/>
        <w:gridCol w:w="5376"/>
      </w:tblGrid>
      <w:tr w:rsidR="0000000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1C47">
            <w:pPr>
              <w:pStyle w:val="ConsPlusNormal"/>
              <w:jc w:val="center"/>
            </w:pPr>
            <w:r>
              <w:t>Обозначение ссылочного международного стандарта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1C47">
            <w:pPr>
              <w:pStyle w:val="ConsPlusNormal"/>
              <w:jc w:val="center"/>
            </w:pPr>
            <w:r>
              <w:t>Степень соответствия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C1C47">
            <w:pPr>
              <w:pStyle w:val="ConsPlusNormal"/>
              <w:jc w:val="center"/>
            </w:pPr>
            <w:r>
              <w:t>Обозначение и наименование соответствующего национального стандарта</w:t>
            </w:r>
          </w:p>
        </w:tc>
      </w:tr>
      <w:tr w:rsidR="0000000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</w:pPr>
            <w:r>
              <w:t>ISO 9000:2005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jc w:val="center"/>
            </w:pPr>
            <w:r>
              <w:t>IDT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ГОСТ ISO 9000-2011</w:t>
              </w:r>
            </w:hyperlink>
            <w:r>
              <w:t xml:space="preserve"> "Системы менеджмента качества. Основные положения и словарь"</w:t>
            </w:r>
          </w:p>
        </w:tc>
      </w:tr>
      <w:tr w:rsidR="0000000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</w:pPr>
            <w:r>
              <w:t>ISO 22000:2005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jc w:val="center"/>
            </w:pPr>
            <w:r>
              <w:t>IDT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ГОСТ Р ИСО 22000-2007</w:t>
              </w:r>
            </w:hyperlink>
            <w:r>
              <w:t xml:space="preserve"> "Системы менеджмента безопасности пищ</w:t>
            </w:r>
            <w:r>
              <w:t>евой продукции. Требования к организациям, участвующим в цепи создания пищевой продукции"</w:t>
            </w:r>
          </w:p>
        </w:tc>
      </w:tr>
      <w:tr w:rsidR="0000000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</w:pPr>
            <w:r>
              <w:t>ISO/TS 22002-1:2009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jc w:val="center"/>
            </w:pPr>
            <w:r>
              <w:t>IDT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ГОСТ Р 54762-2011/ISO/TS 22002-1:2009</w:t>
              </w:r>
            </w:hyperlink>
            <w:r>
              <w:t xml:space="preserve"> "Программы</w:t>
            </w:r>
            <w:r>
              <w:t xml:space="preserve"> предварительных требований по безопасности пищевой продукции. Часть 1. Производство пищевой продукции"</w:t>
            </w:r>
          </w:p>
        </w:tc>
      </w:tr>
      <w:tr w:rsidR="00000000"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C1C47">
            <w:pPr>
              <w:pStyle w:val="ConsPlusNormal"/>
              <w:ind w:firstLine="283"/>
              <w:jc w:val="both"/>
            </w:pPr>
            <w:r>
              <w:t>Примечание - В настоящей таблице использовано следующее условное обозначение степени соответствия стандартов:</w:t>
            </w:r>
          </w:p>
          <w:p w:rsidR="00000000" w:rsidRDefault="003C1C47">
            <w:pPr>
              <w:pStyle w:val="ConsPlusNormal"/>
              <w:ind w:firstLine="283"/>
              <w:jc w:val="both"/>
            </w:pPr>
            <w:r>
              <w:t>- IDT - идентичные стандарты.</w:t>
            </w:r>
          </w:p>
        </w:tc>
      </w:tr>
    </w:tbl>
    <w:p w:rsidR="00000000" w:rsidRDefault="003C1C47">
      <w:pPr>
        <w:pStyle w:val="ConsPlusNormal"/>
        <w:jc w:val="both"/>
      </w:pPr>
    </w:p>
    <w:p w:rsidR="00000000" w:rsidRDefault="003C1C47">
      <w:pPr>
        <w:pStyle w:val="ConsPlusNormal"/>
        <w:jc w:val="both"/>
      </w:pPr>
    </w:p>
    <w:p w:rsidR="003C1C47" w:rsidRDefault="003C1C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C1C47">
      <w:headerReference w:type="default" r:id="rId74"/>
      <w:footerReference w:type="default" r:id="rId7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C47" w:rsidRDefault="003C1C47">
      <w:pPr>
        <w:spacing w:after="0" w:line="240" w:lineRule="auto"/>
      </w:pPr>
      <w:r>
        <w:separator/>
      </w:r>
    </w:p>
  </w:endnote>
  <w:endnote w:type="continuationSeparator" w:id="0">
    <w:p w:rsidR="003C1C47" w:rsidRDefault="003C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C1C4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1C4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1C4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1C4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143AD8">
            <w:rPr>
              <w:sz w:val="20"/>
              <w:szCs w:val="20"/>
            </w:rPr>
            <w:fldChar w:fldCharType="separate"/>
          </w:r>
          <w:r w:rsidR="00143AD8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143AD8">
            <w:rPr>
              <w:sz w:val="20"/>
              <w:szCs w:val="20"/>
            </w:rPr>
            <w:fldChar w:fldCharType="separate"/>
          </w:r>
          <w:r w:rsidR="00143AD8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3C1C47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C1C4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1C4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1C4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1C4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143AD8">
            <w:rPr>
              <w:sz w:val="20"/>
              <w:szCs w:val="20"/>
            </w:rPr>
            <w:fldChar w:fldCharType="separate"/>
          </w:r>
          <w:r w:rsidR="00143AD8">
            <w:rPr>
              <w:noProof/>
              <w:sz w:val="20"/>
              <w:szCs w:val="20"/>
            </w:rPr>
            <w:t>12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143AD8">
            <w:rPr>
              <w:sz w:val="20"/>
              <w:szCs w:val="20"/>
            </w:rPr>
            <w:fldChar w:fldCharType="separate"/>
          </w:r>
          <w:r w:rsidR="00143AD8">
            <w:rPr>
              <w:noProof/>
              <w:sz w:val="20"/>
              <w:szCs w:val="20"/>
            </w:rPr>
            <w:t>12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3C1C4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C47" w:rsidRDefault="003C1C47">
      <w:pPr>
        <w:spacing w:after="0" w:line="240" w:lineRule="auto"/>
      </w:pPr>
      <w:r>
        <w:separator/>
      </w:r>
    </w:p>
  </w:footnote>
  <w:footnote w:type="continuationSeparator" w:id="0">
    <w:p w:rsidR="003C1C47" w:rsidRDefault="003C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1C4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"ГОСТ Р 56671-2015. Национальный стандарт Российской Федерации. Ре</w:t>
          </w:r>
          <w:r>
            <w:rPr>
              <w:sz w:val="16"/>
              <w:szCs w:val="16"/>
            </w:rPr>
            <w:t>комендации по разработке и внедрению процедур, основан...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1C47">
          <w:pPr>
            <w:pStyle w:val="ConsPlusNormal"/>
            <w:jc w:val="center"/>
          </w:pPr>
        </w:p>
        <w:p w:rsidR="00000000" w:rsidRDefault="003C1C47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1C4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07.04.2021</w:t>
          </w:r>
        </w:p>
      </w:tc>
    </w:tr>
  </w:tbl>
  <w:p w:rsidR="00000000" w:rsidRDefault="003C1C4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C1C47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1C4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"ГОСТ Р 56671-2015. Национальный стандарт Российской Федерации. Рекомендации по разработке и внедрению процедур, основан...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1C47">
          <w:pPr>
            <w:pStyle w:val="ConsPlusNormal"/>
            <w:jc w:val="center"/>
          </w:pPr>
        </w:p>
        <w:p w:rsidR="00000000" w:rsidRDefault="003C1C47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C1C4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предоста</w:t>
          </w:r>
          <w:r>
            <w:rPr>
              <w:sz w:val="18"/>
              <w:szCs w:val="18"/>
            </w:rPr>
            <w:t xml:space="preserve">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07.04.2021</w:t>
          </w:r>
        </w:p>
      </w:tc>
    </w:tr>
  </w:tbl>
  <w:p w:rsidR="00000000" w:rsidRDefault="003C1C4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C1C4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D8"/>
    <w:rsid w:val="00143AD8"/>
    <w:rsid w:val="003C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74510&amp;date=07.04.2021&amp;demo=1" TargetMode="External"/><Relationship Id="rId18" Type="http://schemas.openxmlformats.org/officeDocument/2006/relationships/hyperlink" Target="https://login.consultant.ru/link/?req=doc&amp;base=OTN&amp;n=9077&amp;date=07.04.2021&amp;demo=1" TargetMode="External"/><Relationship Id="rId26" Type="http://schemas.openxmlformats.org/officeDocument/2006/relationships/hyperlink" Target="https://login.consultant.ru/link/?req=doc&amp;base=OTN&amp;n=9077&amp;date=07.04.2021&amp;demo=1&amp;dst=100094&amp;fld=134" TargetMode="External"/><Relationship Id="rId39" Type="http://schemas.openxmlformats.org/officeDocument/2006/relationships/hyperlink" Target="https://login.consultant.ru/link/?req=doc&amp;base=LAW&amp;n=342482&amp;date=07.04.2021&amp;demo=1&amp;dst=100252&amp;fld=134" TargetMode="External"/><Relationship Id="rId21" Type="http://schemas.openxmlformats.org/officeDocument/2006/relationships/hyperlink" Target="https://login.consultant.ru/link/?req=doc&amp;base=OTN&amp;n=720&amp;date=07.04.2021&amp;demo=1" TargetMode="External"/><Relationship Id="rId34" Type="http://schemas.openxmlformats.org/officeDocument/2006/relationships/hyperlink" Target="https://login.consultant.ru/link/?req=doc&amp;base=LAW&amp;n=342482&amp;date=07.04.2021&amp;demo=1&amp;dst=100236&amp;fld=134" TargetMode="External"/><Relationship Id="rId42" Type="http://schemas.openxmlformats.org/officeDocument/2006/relationships/hyperlink" Target="https://login.consultant.ru/link/?req=doc&amp;base=LAW&amp;n=342482&amp;date=07.04.2021&amp;demo=1&amp;dst=100263&amp;fld=134" TargetMode="External"/><Relationship Id="rId47" Type="http://schemas.openxmlformats.org/officeDocument/2006/relationships/hyperlink" Target="https://login.consultant.ru/link/?req=doc&amp;base=OTN&amp;n=720&amp;date=07.04.2021&amp;demo=1" TargetMode="External"/><Relationship Id="rId50" Type="http://schemas.openxmlformats.org/officeDocument/2006/relationships/hyperlink" Target="https://login.consultant.ru/link/?req=doc&amp;base=OTN&amp;n=720&amp;date=07.04.2021&amp;demo=1" TargetMode="External"/><Relationship Id="rId55" Type="http://schemas.openxmlformats.org/officeDocument/2006/relationships/hyperlink" Target="https://login.consultant.ru/link/?req=doc&amp;base=LAW&amp;n=342482&amp;date=07.04.2021&amp;demo=1&amp;dst=100048&amp;fld=134" TargetMode="External"/><Relationship Id="rId63" Type="http://schemas.openxmlformats.org/officeDocument/2006/relationships/hyperlink" Target="https://login.consultant.ru/link/?req=doc&amp;base=OTN&amp;n=9077&amp;date=07.04.2021&amp;demo=1" TargetMode="External"/><Relationship Id="rId68" Type="http://schemas.openxmlformats.org/officeDocument/2006/relationships/hyperlink" Target="https://login.consultant.ru/link/?req=doc&amp;base=OTN&amp;n=2228&amp;date=07.04.2021&amp;demo=1&amp;dst=100200&amp;fld=134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STR&amp;n=16019&amp;date=07.04.2021&amp;demo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42482&amp;date=07.04.2021&amp;demo=1&amp;dst=100229&amp;fld=134" TargetMode="External"/><Relationship Id="rId29" Type="http://schemas.openxmlformats.org/officeDocument/2006/relationships/hyperlink" Target="https://login.consultant.ru/link/?req=doc&amp;base=OTN&amp;n=9077&amp;date=07.04.2021&amp;demo=1&amp;dst=100089&amp;fld=134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OTN&amp;n=2228&amp;date=07.04.2021&amp;demo=1&amp;dst=100023&amp;fld=134" TargetMode="External"/><Relationship Id="rId32" Type="http://schemas.openxmlformats.org/officeDocument/2006/relationships/hyperlink" Target="https://login.consultant.ru/link/?req=doc&amp;base=OTN&amp;n=20931&amp;date=07.04.2021&amp;demo=1&amp;dst=100044&amp;fld=134" TargetMode="External"/><Relationship Id="rId37" Type="http://schemas.openxmlformats.org/officeDocument/2006/relationships/hyperlink" Target="https://login.consultant.ru/link/?req=doc&amp;base=LAW&amp;n=342482&amp;date=07.04.2021&amp;demo=1&amp;dst=100240&amp;fld=134" TargetMode="External"/><Relationship Id="rId40" Type="http://schemas.openxmlformats.org/officeDocument/2006/relationships/hyperlink" Target="https://login.consultant.ru/link/?req=doc&amp;base=LAW&amp;n=342482&amp;date=07.04.2021&amp;demo=1&amp;dst=100256&amp;fld=134" TargetMode="External"/><Relationship Id="rId45" Type="http://schemas.openxmlformats.org/officeDocument/2006/relationships/hyperlink" Target="https://login.consultant.ru/link/?req=doc&amp;base=LAW&amp;n=342482&amp;date=07.04.2021&amp;demo=1&amp;dst=100229&amp;fld=134" TargetMode="External"/><Relationship Id="rId53" Type="http://schemas.openxmlformats.org/officeDocument/2006/relationships/hyperlink" Target="https://login.consultant.ru/link/?req=doc&amp;base=OTN&amp;n=9077&amp;date=07.04.2021&amp;demo=1" TargetMode="External"/><Relationship Id="rId58" Type="http://schemas.openxmlformats.org/officeDocument/2006/relationships/hyperlink" Target="https://login.consultant.ru/link/?req=doc&amp;base=LAW&amp;n=342482&amp;date=07.04.2021&amp;demo=1&amp;dst=100233&amp;fld=134" TargetMode="External"/><Relationship Id="rId66" Type="http://schemas.openxmlformats.org/officeDocument/2006/relationships/hyperlink" Target="https://login.consultant.ru/link/?req=doc&amp;base=LAW&amp;n=342482&amp;date=07.04.2021&amp;demo=1&amp;dst=100251&amp;fld=134" TargetMode="External"/><Relationship Id="rId7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STR&amp;n=18029&amp;date=07.04.2021&amp;demo=1&amp;dst=100120&amp;fld=134" TargetMode="External"/><Relationship Id="rId23" Type="http://schemas.openxmlformats.org/officeDocument/2006/relationships/hyperlink" Target="https://login.consultant.ru/link/?req=doc&amp;base=OTN&amp;n=2228&amp;date=07.04.2021&amp;demo=1&amp;dst=100022&amp;fld=134" TargetMode="External"/><Relationship Id="rId28" Type="http://schemas.openxmlformats.org/officeDocument/2006/relationships/hyperlink" Target="https://login.consultant.ru/link/?req=doc&amp;base=OTN&amp;n=9077&amp;date=07.04.2021&amp;demo=1&amp;dst=100018&amp;fld=134" TargetMode="External"/><Relationship Id="rId36" Type="http://schemas.openxmlformats.org/officeDocument/2006/relationships/hyperlink" Target="https://login.consultant.ru/link/?req=doc&amp;base=LAW&amp;n=342482&amp;date=07.04.2021&amp;demo=1&amp;dst=100238&amp;fld=134" TargetMode="External"/><Relationship Id="rId49" Type="http://schemas.openxmlformats.org/officeDocument/2006/relationships/hyperlink" Target="https://login.consultant.ru/link/?req=doc&amp;base=OTN&amp;n=9077&amp;date=07.04.2021&amp;demo=1" TargetMode="External"/><Relationship Id="rId57" Type="http://schemas.openxmlformats.org/officeDocument/2006/relationships/hyperlink" Target="https://login.consultant.ru/link/?req=doc&amp;base=LAW&amp;n=342482&amp;date=07.04.2021&amp;demo=1&amp;dst=100229&amp;fld=134" TargetMode="External"/><Relationship Id="rId61" Type="http://schemas.openxmlformats.org/officeDocument/2006/relationships/hyperlink" Target="https://login.consultant.ru/link/?req=doc&amp;base=LAW&amp;n=342482&amp;date=07.04.2021&amp;demo=1&amp;dst=101392&amp;fld=134" TargetMode="External"/><Relationship Id="rId10" Type="http://schemas.openxmlformats.org/officeDocument/2006/relationships/hyperlink" Target="https://login.consultant.ru/link/?req=doc&amp;base=OTN&amp;n=10337&amp;date=07.04.2021&amp;demo=1&amp;dst=100008&amp;fld=134" TargetMode="External"/><Relationship Id="rId19" Type="http://schemas.openxmlformats.org/officeDocument/2006/relationships/hyperlink" Target="https://login.consultant.ru/link/?req=doc&amp;base=LAW&amp;n=143116&amp;date=07.04.2021&amp;demo=1" TargetMode="External"/><Relationship Id="rId31" Type="http://schemas.openxmlformats.org/officeDocument/2006/relationships/hyperlink" Target="https://login.consultant.ru/link/?req=doc&amp;base=STR&amp;n=16019&amp;date=07.04.2021&amp;demo=1&amp;dst=100342&amp;fld=134" TargetMode="External"/><Relationship Id="rId44" Type="http://schemas.openxmlformats.org/officeDocument/2006/relationships/image" Target="media/image2.png"/><Relationship Id="rId52" Type="http://schemas.openxmlformats.org/officeDocument/2006/relationships/hyperlink" Target="https://login.consultant.ru/link/?req=doc&amp;base=LAW&amp;n=342482&amp;date=07.04.2021&amp;demo=1&amp;dst=100229&amp;fld=134" TargetMode="External"/><Relationship Id="rId60" Type="http://schemas.openxmlformats.org/officeDocument/2006/relationships/hyperlink" Target="https://login.consultant.ru/link/?req=doc&amp;base=LAW&amp;n=342482&amp;date=07.04.2021&amp;demo=1&amp;dst=100593&amp;fld=134" TargetMode="External"/><Relationship Id="rId65" Type="http://schemas.openxmlformats.org/officeDocument/2006/relationships/hyperlink" Target="https://login.consultant.ru/link/?req=doc&amp;base=OTN&amp;n=9077&amp;date=07.04.2021&amp;demo=1" TargetMode="External"/><Relationship Id="rId73" Type="http://schemas.openxmlformats.org/officeDocument/2006/relationships/hyperlink" Target="https://login.consultant.ru/link/?req=doc&amp;base=OTN&amp;n=720&amp;date=07.04.2021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login.consultant.ru/link/?req=doc&amp;base=LAW&amp;n=274510&amp;date=07.04.2021&amp;demo=1&amp;dst=100006&amp;fld=134" TargetMode="External"/><Relationship Id="rId22" Type="http://schemas.openxmlformats.org/officeDocument/2006/relationships/hyperlink" Target="https://login.consultant.ru/link/?req=doc&amp;base=OTN&amp;n=9077&amp;date=07.04.2021&amp;demo=1" TargetMode="External"/><Relationship Id="rId27" Type="http://schemas.openxmlformats.org/officeDocument/2006/relationships/hyperlink" Target="https://login.consultant.ru/link/?req=doc&amp;base=OTN&amp;n=9077&amp;date=07.04.2021&amp;demo=1&amp;dst=100018&amp;fld=134" TargetMode="External"/><Relationship Id="rId30" Type="http://schemas.openxmlformats.org/officeDocument/2006/relationships/hyperlink" Target="https://login.consultant.ru/link/?req=doc&amp;base=OTN&amp;n=9077&amp;date=07.04.2021&amp;demo=1&amp;dst=100091&amp;fld=134" TargetMode="External"/><Relationship Id="rId35" Type="http://schemas.openxmlformats.org/officeDocument/2006/relationships/hyperlink" Target="https://login.consultant.ru/link/?req=doc&amp;base=LAW&amp;n=342482&amp;date=07.04.2021&amp;demo=1&amp;dst=100237&amp;fld=134" TargetMode="External"/><Relationship Id="rId43" Type="http://schemas.openxmlformats.org/officeDocument/2006/relationships/hyperlink" Target="https://login.consultant.ru/link/?req=doc&amp;base=LAW&amp;n=342482&amp;date=07.04.2021&amp;demo=1&amp;dst=100355&amp;fld=134" TargetMode="External"/><Relationship Id="rId48" Type="http://schemas.openxmlformats.org/officeDocument/2006/relationships/hyperlink" Target="https://login.consultant.ru/link/?req=doc&amp;base=LAW&amp;n=342482&amp;date=07.04.2021&amp;demo=1&amp;dst=100048&amp;fld=134" TargetMode="External"/><Relationship Id="rId56" Type="http://schemas.openxmlformats.org/officeDocument/2006/relationships/image" Target="media/image3.png"/><Relationship Id="rId64" Type="http://schemas.openxmlformats.org/officeDocument/2006/relationships/hyperlink" Target="https://login.consultant.ru/link/?req=doc&amp;base=OTN&amp;n=2228&amp;date=07.04.2021&amp;demo=1&amp;dst=100188&amp;fld=134" TargetMode="External"/><Relationship Id="rId69" Type="http://schemas.openxmlformats.org/officeDocument/2006/relationships/hyperlink" Target="https://login.consultant.ru/link/?req=doc&amp;base=LAW&amp;n=342482&amp;date=07.04.2021&amp;demo=1&amp;dst=100229&amp;fld=13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LAW&amp;n=342482&amp;date=07.04.2021&amp;demo=1&amp;dst=100229&amp;fld=134" TargetMode="External"/><Relationship Id="rId72" Type="http://schemas.openxmlformats.org/officeDocument/2006/relationships/hyperlink" Target="https://login.consultant.ru/link/?req=doc&amp;base=OTN&amp;n=9077&amp;date=07.04.2021&amp;demo=1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STR&amp;n=16019&amp;date=07.04.2021&amp;demo=1" TargetMode="External"/><Relationship Id="rId25" Type="http://schemas.openxmlformats.org/officeDocument/2006/relationships/hyperlink" Target="https://login.consultant.ru/link/?req=doc&amp;base=OTN&amp;n=9077&amp;date=07.04.2021&amp;demo=1&amp;dst=100080&amp;fld=134" TargetMode="External"/><Relationship Id="rId33" Type="http://schemas.openxmlformats.org/officeDocument/2006/relationships/hyperlink" Target="https://login.consultant.ru/link/?req=doc&amp;base=OTN&amp;n=9077&amp;date=07.04.2021&amp;demo=1" TargetMode="External"/><Relationship Id="rId38" Type="http://schemas.openxmlformats.org/officeDocument/2006/relationships/hyperlink" Target="https://login.consultant.ru/link/?req=doc&amp;base=LAW&amp;n=342482&amp;date=07.04.2021&amp;demo=1&amp;dst=100245&amp;fld=134" TargetMode="External"/><Relationship Id="rId46" Type="http://schemas.openxmlformats.org/officeDocument/2006/relationships/hyperlink" Target="https://login.consultant.ru/link/?req=doc&amp;base=OTN&amp;n=9077&amp;date=07.04.2021&amp;demo=1" TargetMode="External"/><Relationship Id="rId59" Type="http://schemas.openxmlformats.org/officeDocument/2006/relationships/hyperlink" Target="https://login.consultant.ru/link/?req=doc&amp;base=OTN&amp;n=2228&amp;date=07.04.2021&amp;demo=1&amp;dst=100184&amp;fld=134" TargetMode="External"/><Relationship Id="rId67" Type="http://schemas.openxmlformats.org/officeDocument/2006/relationships/hyperlink" Target="https://login.consultant.ru/link/?req=doc&amp;base=LAW&amp;n=342482&amp;date=07.04.2021&amp;demo=1&amp;dst=100048&amp;fld=134" TargetMode="External"/><Relationship Id="rId20" Type="http://schemas.openxmlformats.org/officeDocument/2006/relationships/hyperlink" Target="https://login.consultant.ru/link/?req=doc&amp;base=OTN&amp;n=2228&amp;date=07.04.2021&amp;demo=1" TargetMode="External"/><Relationship Id="rId41" Type="http://schemas.openxmlformats.org/officeDocument/2006/relationships/hyperlink" Target="https://login.consultant.ru/link/?req=doc&amp;base=LAW&amp;n=342482&amp;date=07.04.2021&amp;demo=1&amp;dst=100257&amp;fld=134" TargetMode="External"/><Relationship Id="rId54" Type="http://schemas.openxmlformats.org/officeDocument/2006/relationships/hyperlink" Target="https://login.consultant.ru/link/?req=doc&amp;base=LAW&amp;n=342482&amp;date=07.04.2021&amp;demo=1&amp;dst=100048&amp;fld=134" TargetMode="External"/><Relationship Id="rId62" Type="http://schemas.openxmlformats.org/officeDocument/2006/relationships/hyperlink" Target="https://login.consultant.ru/link/?req=doc&amp;base=OTN&amp;n=2228&amp;date=07.04.2021&amp;demo=1" TargetMode="External"/><Relationship Id="rId70" Type="http://schemas.openxmlformats.org/officeDocument/2006/relationships/hyperlink" Target="https://login.consultant.ru/link/?req=doc&amp;base=LAW&amp;n=342482&amp;date=07.04.2021&amp;demo=1&amp;dst=100229&amp;fld=134" TargetMode="External"/><Relationship Id="rId75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3262</Words>
  <Characters>18600</Characters>
  <Application>Microsoft Office Word</Application>
  <DocSecurity>2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Р 56671-2015. Национальный стандарт Российской Федерации. Рекомендации по разработке и внедрению процедур, основанных на принципах ХАССП"(утв. и введен в действие Приказом Росстандарта от 23.10.2015 N 1627-ст)</vt:lpstr>
    </vt:vector>
  </TitlesOfParts>
  <Company>КонсультантПлюс Версия 4018.00.50</Company>
  <LinksUpToDate>false</LinksUpToDate>
  <CharactersWithSpaces>21819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56671-2015. Национальный стандарт Российской Федерации. Рекомендации по разработке и внедрению процедур, основанных на принципах ХАССП"(утв. и введен в действие Приказом Росстандарта от 23.10.2015 N 1627-ст)</dc:title>
  <dc:creator>Алёна</dc:creator>
  <cp:lastModifiedBy>Алёна</cp:lastModifiedBy>
  <cp:revision>2</cp:revision>
  <dcterms:created xsi:type="dcterms:W3CDTF">2021-04-07T12:30:00Z</dcterms:created>
  <dcterms:modified xsi:type="dcterms:W3CDTF">2021-04-07T12:30:00Z</dcterms:modified>
</cp:coreProperties>
</file>